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677"/>
        <w:gridCol w:w="4110"/>
      </w:tblGrid>
      <w:tr w:rsidR="002C6B43" w:rsidTr="007A5318">
        <w:trPr>
          <w:trHeight w:val="110"/>
        </w:trPr>
        <w:tc>
          <w:tcPr>
            <w:tcW w:w="9464" w:type="dxa"/>
            <w:gridSpan w:val="3"/>
          </w:tcPr>
          <w:p w:rsidR="002C6B43" w:rsidRPr="008763D1" w:rsidRDefault="002C6B43" w:rsidP="002C6B43">
            <w:pPr>
              <w:pStyle w:val="Default"/>
              <w:rPr>
                <w:rFonts w:ascii="Arial" w:hAnsi="Arial" w:cs="Arial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Bogotá, D.C., _____ de _________ </w:t>
            </w:r>
            <w:proofErr w:type="spellStart"/>
            <w:r w:rsidRPr="008763D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8763D1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B44672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Señores </w:t>
            </w:r>
          </w:p>
          <w:p w:rsidR="002C6B43" w:rsidRPr="008763D1" w:rsidRDefault="003D6A55" w:rsidP="002C6B4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ITAÚ</w:t>
            </w:r>
            <w:r w:rsidR="002C6B43" w:rsidRPr="00876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CORPBANCA COLOMBIA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La Ciudad.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Apreciados señores: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="007D3258">
              <w:rPr>
                <w:rFonts w:ascii="Arial" w:hAnsi="Arial" w:cs="Arial"/>
                <w:sz w:val="22"/>
                <w:szCs w:val="22"/>
              </w:rPr>
              <w:t>mayor de edad, domiciliado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la ciudad de Bogotá D.C., identificado (a) con cedula de ciudadanía No. __________ expedida en _________, obrando en mi calidad de Representante Legal de ________________________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establecimiento legamente constituido, domiciliado en _______, tal y como consta en el certificado de existencia y representación legal que se adjunta, por medio del presente escrito confiero poder especial, amplio y suficiente a 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Pr="008763D1">
              <w:rPr>
                <w:rFonts w:ascii="Arial" w:hAnsi="Arial" w:cs="Arial"/>
                <w:sz w:val="22"/>
                <w:szCs w:val="22"/>
              </w:rPr>
              <w:t>mayor de edad, domiciliado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__________, e identificado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con la cedula de ciudadanía No _____ expedida en </w:t>
            </w:r>
            <w:r w:rsidR="00394ACF">
              <w:rPr>
                <w:rFonts w:ascii="Arial" w:hAnsi="Arial" w:cs="Arial"/>
                <w:sz w:val="22"/>
                <w:szCs w:val="22"/>
              </w:rPr>
              <w:t>__________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, para que represente a la _________(Sociedad) en la reunión </w:t>
            </w:r>
            <w:r w:rsidR="0099350D">
              <w:rPr>
                <w:rFonts w:ascii="Arial" w:hAnsi="Arial" w:cs="Arial"/>
                <w:sz w:val="22"/>
                <w:szCs w:val="22"/>
              </w:rPr>
              <w:t>Ordinaria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de la Asamblea General de Accionistas de </w:t>
            </w:r>
            <w:r w:rsidR="003D6A55">
              <w:rPr>
                <w:rFonts w:ascii="Arial" w:hAnsi="Arial" w:cs="Arial"/>
                <w:sz w:val="22"/>
                <w:szCs w:val="22"/>
              </w:rPr>
              <w:t>Itaú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Corpbanca Colombia S.A. que se llevará a cabo el día</w:t>
            </w:r>
            <w:r w:rsidR="00B44672">
              <w:rPr>
                <w:rFonts w:ascii="Arial" w:hAnsi="Arial" w:cs="Arial"/>
                <w:sz w:val="22"/>
                <w:szCs w:val="22"/>
              </w:rPr>
              <w:t>18</w:t>
            </w:r>
            <w:r w:rsidR="00D2633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3D6A55">
              <w:rPr>
                <w:rFonts w:ascii="Arial" w:hAnsi="Arial" w:cs="Arial"/>
                <w:sz w:val="22"/>
                <w:szCs w:val="22"/>
              </w:rPr>
              <w:t>marzo de 2</w:t>
            </w:r>
            <w:r w:rsidR="00B44672">
              <w:rPr>
                <w:rFonts w:ascii="Arial" w:hAnsi="Arial" w:cs="Arial"/>
                <w:sz w:val="22"/>
                <w:szCs w:val="22"/>
              </w:rPr>
              <w:t>020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a las 8:</w:t>
            </w:r>
            <w:r w:rsidR="003D6A55">
              <w:rPr>
                <w:rFonts w:ascii="Arial" w:hAnsi="Arial" w:cs="Arial"/>
                <w:sz w:val="22"/>
                <w:szCs w:val="22"/>
              </w:rPr>
              <w:t>0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0 a.m., en el domicilio principal de la sociedad en las oficinas ubicadas en la </w:t>
            </w:r>
            <w:r w:rsidR="00B44672">
              <w:rPr>
                <w:rFonts w:ascii="Arial" w:hAnsi="Arial" w:cs="Arial"/>
                <w:sz w:val="22"/>
                <w:szCs w:val="22"/>
              </w:rPr>
              <w:t>C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arrera 7 No. 99- 53 piso 21. </w:t>
            </w:r>
          </w:p>
          <w:p w:rsidR="008763D1" w:rsidRDefault="008763D1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El apoderado queda ampliamente facultado para votar de acuerdo con el anexo a </w:t>
            </w:r>
            <w:proofErr w:type="gramStart"/>
            <w:r w:rsidRPr="008763D1">
              <w:rPr>
                <w:rFonts w:ascii="Arial" w:hAnsi="Arial" w:cs="Arial"/>
                <w:sz w:val="22"/>
                <w:szCs w:val="22"/>
              </w:rPr>
              <w:t>éste</w:t>
            </w:r>
            <w:proofErr w:type="gramEnd"/>
            <w:r w:rsidRPr="008763D1">
              <w:rPr>
                <w:rFonts w:ascii="Arial" w:hAnsi="Arial" w:cs="Arial"/>
                <w:sz w:val="22"/>
                <w:szCs w:val="22"/>
              </w:rPr>
      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Atentamente,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Representante Legal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C.C. __________ expedida en _____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3D1">
              <w:rPr>
                <w:rFonts w:ascii="Arial" w:hAnsi="Arial" w:cs="Arial"/>
                <w:bCs/>
                <w:sz w:val="22"/>
                <w:szCs w:val="22"/>
              </w:rPr>
              <w:t>Nit</w:t>
            </w:r>
            <w:proofErr w:type="spellEnd"/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Acepto: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>C.C. No. __________ expedida en __________</w:t>
            </w:r>
          </w:p>
        </w:tc>
      </w:tr>
      <w:tr w:rsidR="002C6B43" w:rsidTr="007A5318">
        <w:trPr>
          <w:trHeight w:val="110"/>
        </w:trPr>
        <w:tc>
          <w:tcPr>
            <w:tcW w:w="9464" w:type="dxa"/>
            <w:gridSpan w:val="3"/>
          </w:tcPr>
          <w:p w:rsidR="002C6B43" w:rsidRPr="008763D1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43" w:rsidTr="007A5318">
        <w:trPr>
          <w:trHeight w:val="110"/>
        </w:trPr>
        <w:tc>
          <w:tcPr>
            <w:tcW w:w="2677" w:type="dxa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:rsidR="002C6B43" w:rsidRPr="002C6B43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Tr="007A5318">
        <w:trPr>
          <w:trHeight w:val="244"/>
        </w:trPr>
        <w:tc>
          <w:tcPr>
            <w:tcW w:w="9464" w:type="dxa"/>
            <w:gridSpan w:val="3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Tr="007A5318">
        <w:trPr>
          <w:trHeight w:val="244"/>
        </w:trPr>
        <w:tc>
          <w:tcPr>
            <w:tcW w:w="9464" w:type="dxa"/>
            <w:gridSpan w:val="3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  <w:p w:rsidR="007A5318" w:rsidRDefault="007A5318">
            <w:pPr>
              <w:pStyle w:val="Default"/>
              <w:rPr>
                <w:sz w:val="22"/>
                <w:szCs w:val="22"/>
              </w:rPr>
            </w:pPr>
          </w:p>
          <w:p w:rsidR="007A5318" w:rsidRDefault="007A5318">
            <w:pPr>
              <w:pStyle w:val="Default"/>
              <w:rPr>
                <w:sz w:val="22"/>
                <w:szCs w:val="22"/>
              </w:rPr>
            </w:pPr>
          </w:p>
          <w:p w:rsidR="007A5318" w:rsidRDefault="007A5318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Tr="007A5318">
        <w:trPr>
          <w:trHeight w:val="110"/>
        </w:trPr>
        <w:tc>
          <w:tcPr>
            <w:tcW w:w="9464" w:type="dxa"/>
            <w:gridSpan w:val="3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B44672" w:rsidRPr="001545D9" w:rsidTr="006B1C5F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B44672" w:rsidRPr="009B6182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lastRenderedPageBreak/>
                    <w:t>ITAÚ CORPBANCA COLOMBIA</w:t>
                  </w:r>
                </w:p>
              </w:tc>
            </w:tr>
            <w:tr w:rsidR="00B44672" w:rsidRPr="001545D9" w:rsidTr="006B0D2A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B44672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ASAMBLEA </w:t>
                  </w:r>
                  <w:r w:rsidRPr="001545D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ORDINARIA DE ACCIONISTAS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2020</w:t>
                  </w:r>
                </w:p>
              </w:tc>
            </w:tr>
            <w:tr w:rsidR="00B44672" w:rsidRPr="001545D9" w:rsidTr="00B44672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Propuesta de Acuerdo </w:t>
                  </w: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del 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B44672" w:rsidRPr="001545D9" w:rsidTr="00B44672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 propone aprobar el n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5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</w:t>
                  </w:r>
                  <w:bookmarkStart w:id="0" w:name="_GoBack"/>
                  <w:bookmarkEnd w:id="0"/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r el 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Informe de Gestión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y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Sostenibilidad e informe d</w:t>
                  </w:r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 xml:space="preserve">el Representante </w:t>
                  </w:r>
                  <w:proofErr w:type="gramStart"/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>Legal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 publicado</w:t>
                  </w:r>
                  <w:proofErr w:type="gram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 Grupo Empresarial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sobre los EEFF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lectura del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Dictamen del Revisor Fiscal a los Estados Financieros Individuales y Consolidados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Individuales del ejercicio 201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9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del ejercicio 201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9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D41BC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D115DF" w:rsidRDefault="00B44672" w:rsidP="00B44672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e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lección de la Junta Directiva para el periodo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-20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 w:rsidRPr="00037474">
                    <w:rPr>
                      <w:sz w:val="20"/>
                      <w:szCs w:val="20"/>
                    </w:rPr>
                    <w:t>PricewaterhouseCoopers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como Revisor Fiscal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037474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>
                    <w:rPr>
                      <w:sz w:val="20"/>
                      <w:szCs w:val="20"/>
                    </w:rPr>
                    <w:t>la elección del Defensor del Consumidor Financiero para el período 2020 - 2022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62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I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B27E1">
                    <w:rPr>
                      <w:sz w:val="20"/>
                      <w:szCs w:val="20"/>
                    </w:rPr>
                    <w:t>Informe del Funcionamiento del Sistema de Control Interno (SCI) de Banco CorpBanca Colombia S.A. en lo relacionado con la función de la Auditoría Interna durante el año 20</w:t>
                  </w:r>
                  <w:r>
                    <w:rPr>
                      <w:sz w:val="20"/>
                      <w:szCs w:val="20"/>
                    </w:rPr>
                    <w:t xml:space="preserve">19 </w:t>
                  </w:r>
                  <w:r w:rsidRPr="004D41BC">
                    <w:rPr>
                      <w:sz w:val="20"/>
                      <w:szCs w:val="20"/>
                    </w:rPr>
                    <w:t>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Pr="001545D9" w:rsidRDefault="00B44672" w:rsidP="00B44672">
                  <w:pPr>
                    <w:pStyle w:val="Textoindependiente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la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Ratificación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de las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Donaciones </w:t>
                  </w:r>
                  <w:r>
                    <w:rPr>
                      <w:sz w:val="20"/>
                      <w:szCs w:val="20"/>
                    </w:rPr>
                    <w:t>publicadas</w:t>
                  </w:r>
                  <w:r w:rsidRPr="004D41BC">
                    <w:rPr>
                      <w:sz w:val="20"/>
                      <w:szCs w:val="20"/>
                    </w:rPr>
                    <w:t xml:space="preserve">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RPr="001545D9" w:rsidTr="007A5318">
        <w:trPr>
          <w:trHeight w:val="378"/>
        </w:trPr>
        <w:tc>
          <w:tcPr>
            <w:tcW w:w="9464" w:type="dxa"/>
            <w:gridSpan w:val="3"/>
          </w:tcPr>
          <w:p w:rsidR="002C6B43" w:rsidRPr="001545D9" w:rsidRDefault="002C6B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B43" w:rsidRPr="001545D9" w:rsidTr="007A5318">
        <w:trPr>
          <w:trHeight w:val="244"/>
        </w:trPr>
        <w:tc>
          <w:tcPr>
            <w:tcW w:w="9464" w:type="dxa"/>
            <w:gridSpan w:val="3"/>
          </w:tcPr>
          <w:p w:rsidR="002C6B43" w:rsidRPr="001545D9" w:rsidRDefault="002C6B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F0D" w:rsidRPr="001545D9" w:rsidRDefault="00457F0D" w:rsidP="001545D9">
      <w:pPr>
        <w:rPr>
          <w:rFonts w:ascii="Arial" w:hAnsi="Arial" w:cs="Arial"/>
          <w:sz w:val="20"/>
          <w:szCs w:val="20"/>
        </w:rPr>
      </w:pPr>
    </w:p>
    <w:sectPr w:rsidR="00457F0D" w:rsidRPr="001545D9" w:rsidSect="00605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2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06175D"/>
    <w:multiLevelType w:val="hybridMultilevel"/>
    <w:tmpl w:val="265C1F4C"/>
    <w:lvl w:ilvl="0" w:tplc="336C31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774EB"/>
    <w:multiLevelType w:val="hybridMultilevel"/>
    <w:tmpl w:val="C56EA06E"/>
    <w:lvl w:ilvl="0" w:tplc="108894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43"/>
    <w:rsid w:val="00007DD0"/>
    <w:rsid w:val="001545D9"/>
    <w:rsid w:val="002C2354"/>
    <w:rsid w:val="002C6B43"/>
    <w:rsid w:val="002E10B3"/>
    <w:rsid w:val="00340E2E"/>
    <w:rsid w:val="00394ACF"/>
    <w:rsid w:val="003D6A55"/>
    <w:rsid w:val="004352C7"/>
    <w:rsid w:val="00457F0D"/>
    <w:rsid w:val="005A2C68"/>
    <w:rsid w:val="00605447"/>
    <w:rsid w:val="00771E69"/>
    <w:rsid w:val="007A5318"/>
    <w:rsid w:val="007D3258"/>
    <w:rsid w:val="00801AAA"/>
    <w:rsid w:val="0081373C"/>
    <w:rsid w:val="0081635A"/>
    <w:rsid w:val="008763D1"/>
    <w:rsid w:val="00936A79"/>
    <w:rsid w:val="0099350D"/>
    <w:rsid w:val="00B3434B"/>
    <w:rsid w:val="00B44672"/>
    <w:rsid w:val="00D07D45"/>
    <w:rsid w:val="00D2633A"/>
    <w:rsid w:val="00ED2273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3B352"/>
  <w15:docId w15:val="{DA2F6FB0-543F-4A08-8E76-15CA00D4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F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C6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FB403A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B403A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77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4</cp:revision>
  <dcterms:created xsi:type="dcterms:W3CDTF">2018-02-28T14:41:00Z</dcterms:created>
  <dcterms:modified xsi:type="dcterms:W3CDTF">2020-02-24T14:36:00Z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{88DFEC1F-2911-4F99-860B-1ECC6292F326}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1582555016</vt:lpwstr>
  </property>
  <property fmtid="{D5CDD505-2E9C-101B-9397-08002B2CF9AE}" pid="5" name="DLPManualFileClassificationVersion">
    <vt:lpwstr>11.3.2.8</vt:lpwstr>
  </property>
</Properties>
</file>