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788" w:rsidRPr="007F1274" w:rsidRDefault="004D3788" w:rsidP="004D378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ITAÚ</w:t>
      </w:r>
      <w:r w:rsidRPr="007F1274">
        <w:rPr>
          <w:b/>
          <w:bCs/>
          <w:sz w:val="21"/>
          <w:szCs w:val="21"/>
        </w:rPr>
        <w:t xml:space="preserve"> CORPBANCA COLOMBIA S.A. ANUNCIA MEDIDAS PARA GARANTIZAR</w:t>
      </w:r>
    </w:p>
    <w:p w:rsidR="004D3788" w:rsidRPr="007F1274" w:rsidRDefault="004D3788" w:rsidP="004D3788">
      <w:pPr>
        <w:pStyle w:val="Default"/>
        <w:jc w:val="center"/>
        <w:rPr>
          <w:b/>
          <w:bCs/>
          <w:sz w:val="21"/>
          <w:szCs w:val="21"/>
        </w:rPr>
      </w:pPr>
      <w:r w:rsidRPr="007F1274">
        <w:rPr>
          <w:b/>
          <w:bCs/>
          <w:sz w:val="21"/>
          <w:szCs w:val="21"/>
        </w:rPr>
        <w:t>UN TRATO EQUITATIVO A SUS ACCIONISTAS</w:t>
      </w:r>
    </w:p>
    <w:p w:rsidR="004D3788" w:rsidRPr="007F1274" w:rsidRDefault="004D3788" w:rsidP="004D3788">
      <w:pPr>
        <w:pStyle w:val="Default"/>
        <w:jc w:val="both"/>
        <w:rPr>
          <w:sz w:val="21"/>
          <w:szCs w:val="21"/>
        </w:rPr>
      </w:pPr>
    </w:p>
    <w:p w:rsidR="004D3788" w:rsidRDefault="004D3788" w:rsidP="004D3788">
      <w:pPr>
        <w:pStyle w:val="Default"/>
        <w:jc w:val="both"/>
        <w:rPr>
          <w:sz w:val="22"/>
          <w:szCs w:val="22"/>
        </w:rPr>
      </w:pPr>
      <w:r w:rsidRPr="00DD1A94">
        <w:rPr>
          <w:sz w:val="22"/>
          <w:szCs w:val="22"/>
        </w:rPr>
        <w:t xml:space="preserve">La Junta Directiva </w:t>
      </w:r>
      <w:r>
        <w:rPr>
          <w:sz w:val="22"/>
          <w:szCs w:val="22"/>
        </w:rPr>
        <w:t>de ITAÚ</w:t>
      </w:r>
      <w:r w:rsidRPr="00DD1A94">
        <w:rPr>
          <w:bCs/>
          <w:sz w:val="22"/>
          <w:szCs w:val="22"/>
        </w:rPr>
        <w:t xml:space="preserve"> CORPBANCA COLOMBIA S.A. </w:t>
      </w:r>
      <w:r>
        <w:rPr>
          <w:sz w:val="22"/>
          <w:szCs w:val="22"/>
        </w:rPr>
        <w:t>recuerda a los representantes legales, administradores y demás funcionarios de la entidad, en aplicación de la normatividad vigente, las siguientes prohibiciones tendientes a asegurar un trato equitativo a todos los accionistas de ITAÚ</w:t>
      </w:r>
      <w:r w:rsidRPr="00DD1A94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CORPBANCA COLOMBIA en la Asamblea </w:t>
      </w:r>
      <w:r w:rsidR="00D266CA">
        <w:rPr>
          <w:sz w:val="22"/>
          <w:szCs w:val="22"/>
        </w:rPr>
        <w:t>Extrao</w:t>
      </w:r>
      <w:r>
        <w:rPr>
          <w:sz w:val="22"/>
          <w:szCs w:val="22"/>
        </w:rPr>
        <w:t xml:space="preserve">rdinaria de Accionistas convocada para el </w:t>
      </w:r>
      <w:r w:rsidR="00D266CA">
        <w:rPr>
          <w:sz w:val="22"/>
          <w:szCs w:val="22"/>
        </w:rPr>
        <w:t>viernes 9 de octubre</w:t>
      </w:r>
      <w:r>
        <w:rPr>
          <w:sz w:val="22"/>
          <w:szCs w:val="22"/>
        </w:rPr>
        <w:t xml:space="preserve"> a las </w:t>
      </w:r>
      <w:r w:rsidR="00D266CA">
        <w:rPr>
          <w:sz w:val="22"/>
          <w:szCs w:val="22"/>
        </w:rPr>
        <w:t>8:00 a</w:t>
      </w:r>
      <w:r>
        <w:rPr>
          <w:sz w:val="22"/>
          <w:szCs w:val="22"/>
        </w:rPr>
        <w:t xml:space="preserve">.m. </w:t>
      </w:r>
    </w:p>
    <w:p w:rsidR="004D3788" w:rsidRDefault="004D3788" w:rsidP="004D3788">
      <w:pPr>
        <w:pStyle w:val="Default"/>
        <w:jc w:val="both"/>
        <w:rPr>
          <w:sz w:val="22"/>
          <w:szCs w:val="22"/>
        </w:rPr>
      </w:pPr>
    </w:p>
    <w:p w:rsidR="004D3788" w:rsidRDefault="004D3788" w:rsidP="004D37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Las prohibiciones, dirigidas a los representantes legales, administradores y demás funcionarios del Banco, son las siguientes: </w:t>
      </w:r>
    </w:p>
    <w:p w:rsidR="004D3788" w:rsidRPr="00DD1A94" w:rsidRDefault="004D3788" w:rsidP="004D3788">
      <w:pPr>
        <w:pStyle w:val="Default"/>
        <w:jc w:val="both"/>
        <w:rPr>
          <w:sz w:val="22"/>
          <w:szCs w:val="22"/>
        </w:rPr>
      </w:pPr>
    </w:p>
    <w:p w:rsidR="004D3788" w:rsidRDefault="004D3788" w:rsidP="004D378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D1A94">
        <w:rPr>
          <w:sz w:val="22"/>
          <w:szCs w:val="22"/>
        </w:rPr>
        <w:t>Representar en las reuniones de Asamblea</w:t>
      </w:r>
      <w:r>
        <w:rPr>
          <w:sz w:val="22"/>
          <w:szCs w:val="22"/>
        </w:rPr>
        <w:t>, mientras estén en ejercicio de sus cargos,</w:t>
      </w:r>
      <w:r w:rsidRPr="00DD1A94">
        <w:rPr>
          <w:sz w:val="22"/>
          <w:szCs w:val="22"/>
        </w:rPr>
        <w:t xml:space="preserve"> acciones distintas de las propias</w:t>
      </w:r>
      <w:r>
        <w:rPr>
          <w:sz w:val="22"/>
          <w:szCs w:val="22"/>
        </w:rPr>
        <w:t xml:space="preserve"> o de aquellas que representen cuando actúen en calidad de representante legales</w:t>
      </w:r>
      <w:r w:rsidRPr="00DD1A94">
        <w:rPr>
          <w:sz w:val="22"/>
          <w:szCs w:val="22"/>
        </w:rPr>
        <w:t xml:space="preserve">, </w:t>
      </w:r>
      <w:r>
        <w:rPr>
          <w:sz w:val="22"/>
          <w:szCs w:val="22"/>
        </w:rPr>
        <w:t>ni sustituir los poderes que les confieran.</w:t>
      </w:r>
    </w:p>
    <w:p w:rsidR="004D3788" w:rsidRDefault="004D3788" w:rsidP="004D3788">
      <w:pPr>
        <w:pStyle w:val="Default"/>
        <w:ind w:left="720"/>
        <w:jc w:val="both"/>
        <w:rPr>
          <w:sz w:val="22"/>
          <w:szCs w:val="22"/>
        </w:rPr>
      </w:pPr>
    </w:p>
    <w:p w:rsidR="004D3788" w:rsidRDefault="004D3788" w:rsidP="004D378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DD1A94">
        <w:rPr>
          <w:sz w:val="22"/>
          <w:szCs w:val="22"/>
        </w:rPr>
        <w:t xml:space="preserve">nducir mediante cualquier procedimiento para que se otorguen poderes a favor de determinadas personas. Tampoco podrán votar, ni aún con sus propias acciones, en las decisiones que tengan por objeto aprobar los balances y cuentas de fin de ejercicio ni las de liquidación. </w:t>
      </w:r>
    </w:p>
    <w:p w:rsidR="004D3788" w:rsidRDefault="004D3788" w:rsidP="004D3788">
      <w:pPr>
        <w:pStyle w:val="Default"/>
        <w:jc w:val="both"/>
        <w:rPr>
          <w:sz w:val="22"/>
          <w:szCs w:val="22"/>
        </w:rPr>
      </w:pPr>
    </w:p>
    <w:p w:rsidR="004D3788" w:rsidRDefault="004D3788" w:rsidP="004D378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D1A94">
        <w:rPr>
          <w:sz w:val="22"/>
          <w:szCs w:val="22"/>
        </w:rPr>
        <w:t xml:space="preserve">Solicitar por sí o por interpuesta persona poderes para las reuniones ordinarias o extraordinarias de la Asamblea General de Accionistas. </w:t>
      </w:r>
    </w:p>
    <w:p w:rsidR="004D3788" w:rsidRPr="00DD1A94" w:rsidRDefault="004D3788" w:rsidP="004D3788">
      <w:pPr>
        <w:pStyle w:val="Default"/>
        <w:jc w:val="both"/>
        <w:rPr>
          <w:sz w:val="22"/>
          <w:szCs w:val="22"/>
        </w:rPr>
      </w:pPr>
    </w:p>
    <w:p w:rsidR="004D3788" w:rsidRDefault="004D3788" w:rsidP="004D378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D1A94">
        <w:rPr>
          <w:sz w:val="22"/>
          <w:szCs w:val="22"/>
        </w:rPr>
        <w:t xml:space="preserve">Incentivar, promover o sugerir a los accionistas el otorgamiento de poderes en blanco, donde no aparezca claramente definido el nombre del </w:t>
      </w:r>
      <w:r>
        <w:rPr>
          <w:sz w:val="22"/>
          <w:szCs w:val="22"/>
        </w:rPr>
        <w:t>representante para las asambleas</w:t>
      </w:r>
      <w:r w:rsidRPr="00DD1A94">
        <w:rPr>
          <w:sz w:val="22"/>
          <w:szCs w:val="22"/>
        </w:rPr>
        <w:t xml:space="preserve"> de acc</w:t>
      </w:r>
      <w:r>
        <w:rPr>
          <w:sz w:val="22"/>
          <w:szCs w:val="22"/>
        </w:rPr>
        <w:t>ionistas</w:t>
      </w:r>
      <w:r w:rsidRPr="00DD1A94">
        <w:rPr>
          <w:sz w:val="22"/>
          <w:szCs w:val="22"/>
        </w:rPr>
        <w:t>.</w:t>
      </w:r>
    </w:p>
    <w:p w:rsidR="004D3788" w:rsidRDefault="004D3788" w:rsidP="004D3788">
      <w:pPr>
        <w:pStyle w:val="Default"/>
        <w:jc w:val="both"/>
        <w:rPr>
          <w:sz w:val="22"/>
          <w:szCs w:val="22"/>
        </w:rPr>
      </w:pPr>
    </w:p>
    <w:p w:rsidR="004D3788" w:rsidRDefault="004D3788" w:rsidP="004D378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D1A94">
        <w:rPr>
          <w:sz w:val="22"/>
          <w:szCs w:val="22"/>
        </w:rPr>
        <w:t xml:space="preserve">Recibir de los accionistas poderes para las reuniones de asamblea, donde no aparezca claramente definido el nombre del respectivo representante. </w:t>
      </w:r>
    </w:p>
    <w:p w:rsidR="004D3788" w:rsidRDefault="004D3788" w:rsidP="004D3788">
      <w:pPr>
        <w:pStyle w:val="Default"/>
        <w:jc w:val="both"/>
        <w:rPr>
          <w:sz w:val="22"/>
          <w:szCs w:val="22"/>
        </w:rPr>
      </w:pPr>
    </w:p>
    <w:p w:rsidR="004D3788" w:rsidRDefault="004D3788" w:rsidP="004D378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D1A94">
        <w:rPr>
          <w:sz w:val="22"/>
          <w:szCs w:val="22"/>
        </w:rPr>
        <w:t xml:space="preserve">Admitir como válidos poderes conferidos por los accionistas, sin el lleno de los requisitos legales establecidos en el artículo 184 del Código de </w:t>
      </w:r>
      <w:r>
        <w:rPr>
          <w:sz w:val="22"/>
          <w:szCs w:val="22"/>
        </w:rPr>
        <w:t xml:space="preserve">Comercio, para participar en asambleas de accionistas. Los poderes deberán otorgarse por escrito, indicando el nombre </w:t>
      </w:r>
      <w:r w:rsidRPr="00DD1A94">
        <w:rPr>
          <w:sz w:val="22"/>
          <w:szCs w:val="22"/>
        </w:rPr>
        <w:t xml:space="preserve">la persona en quien éste puede sustituirlo, si es del caso, y la fecha o época de la reunión. Las personas jurídicas que otorguen </w:t>
      </w:r>
      <w:proofErr w:type="gramStart"/>
      <w:r w:rsidRPr="00DD1A94">
        <w:rPr>
          <w:sz w:val="22"/>
          <w:szCs w:val="22"/>
        </w:rPr>
        <w:t>poder,</w:t>
      </w:r>
      <w:proofErr w:type="gramEnd"/>
      <w:r w:rsidRPr="00DD1A94">
        <w:rPr>
          <w:sz w:val="22"/>
          <w:szCs w:val="22"/>
        </w:rPr>
        <w:t xml:space="preserve"> deberán acompañar cert</w:t>
      </w:r>
      <w:r>
        <w:rPr>
          <w:sz w:val="22"/>
          <w:szCs w:val="22"/>
        </w:rPr>
        <w:t>ificado reciente que acredite su</w:t>
      </w:r>
      <w:r w:rsidRPr="00DD1A94">
        <w:rPr>
          <w:sz w:val="22"/>
          <w:szCs w:val="22"/>
        </w:rPr>
        <w:t xml:space="preserve"> existencia y representación. </w:t>
      </w:r>
    </w:p>
    <w:p w:rsidR="004D3788" w:rsidRDefault="004D3788" w:rsidP="004D3788">
      <w:pPr>
        <w:pStyle w:val="Default"/>
        <w:ind w:left="720"/>
        <w:jc w:val="both"/>
        <w:rPr>
          <w:sz w:val="22"/>
          <w:szCs w:val="22"/>
        </w:rPr>
      </w:pPr>
    </w:p>
    <w:p w:rsidR="004D3788" w:rsidRDefault="004D3788" w:rsidP="004D378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40F40">
        <w:rPr>
          <w:sz w:val="22"/>
          <w:szCs w:val="22"/>
        </w:rPr>
        <w:t xml:space="preserve">Recomendar a los accionistas que voten por determinada lista. </w:t>
      </w:r>
    </w:p>
    <w:p w:rsidR="004D3788" w:rsidRDefault="004D3788" w:rsidP="004D3788">
      <w:pPr>
        <w:pStyle w:val="Default"/>
        <w:ind w:left="720"/>
        <w:jc w:val="both"/>
        <w:rPr>
          <w:sz w:val="22"/>
          <w:szCs w:val="22"/>
        </w:rPr>
      </w:pPr>
    </w:p>
    <w:p w:rsidR="004D3788" w:rsidRDefault="004D3788" w:rsidP="004D378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Sugerir, coordinar o</w:t>
      </w:r>
      <w:r w:rsidRPr="00B40F40">
        <w:rPr>
          <w:sz w:val="22"/>
          <w:szCs w:val="22"/>
        </w:rPr>
        <w:t xml:space="preserve"> convenir con cualquier accionista o con cualquier representante de accionistas, la presentación en la asamblea de propuestas que hayan de someterse a su consideración, sin perjuicio de lo dispuesto en los estatutos sociales, que dan facultades a la Junta Directiva y al Presidente para presentar proposiciones a los accionistas para asegurar la buena marcha de la entidad.</w:t>
      </w:r>
    </w:p>
    <w:p w:rsidR="004D3788" w:rsidRPr="00643BF1" w:rsidRDefault="004D3788" w:rsidP="004A5C1D">
      <w:pPr>
        <w:pStyle w:val="Default"/>
        <w:ind w:left="720"/>
        <w:jc w:val="both"/>
        <w:rPr>
          <w:sz w:val="22"/>
          <w:szCs w:val="22"/>
        </w:rPr>
      </w:pPr>
      <w:r w:rsidRPr="00B40F40">
        <w:rPr>
          <w:sz w:val="22"/>
          <w:szCs w:val="22"/>
        </w:rPr>
        <w:t xml:space="preserve"> </w:t>
      </w:r>
    </w:p>
    <w:p w:rsidR="004D3788" w:rsidRPr="00336721" w:rsidRDefault="004D3788" w:rsidP="004D378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336721">
        <w:rPr>
          <w:sz w:val="22"/>
          <w:szCs w:val="22"/>
        </w:rPr>
        <w:t xml:space="preserve">Sugerir, coordinar o convenir con cualquier accionista o con cualquier representante de los accionistas, la votación a favor o en contra de cualquier proposición que se presente en la misma. </w:t>
      </w:r>
    </w:p>
    <w:p w:rsidR="004D3788" w:rsidRPr="00DD1A94" w:rsidRDefault="004D3788" w:rsidP="004D3788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4D3788" w:rsidRPr="00336721" w:rsidRDefault="004D3788" w:rsidP="004D3788">
      <w:pPr>
        <w:spacing w:after="0" w:line="240" w:lineRule="auto"/>
        <w:jc w:val="both"/>
        <w:rPr>
          <w:rFonts w:ascii="Arial" w:hAnsi="Arial" w:cs="Arial"/>
          <w:bCs/>
        </w:rPr>
      </w:pPr>
      <w:r w:rsidRPr="00336721">
        <w:rPr>
          <w:rFonts w:ascii="Arial" w:hAnsi="Arial" w:cs="Arial"/>
          <w:bCs/>
        </w:rPr>
        <w:lastRenderedPageBreak/>
        <w:t>También estarán prohibidas las conductas antes mencionadas cuando se realicen a través de apoderado, intermediario o por interpuesta persona.</w:t>
      </w:r>
    </w:p>
    <w:p w:rsidR="004D3788" w:rsidRDefault="004D3788" w:rsidP="004D3788">
      <w:pPr>
        <w:pStyle w:val="Prrafodelista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4D3788" w:rsidRPr="00336721" w:rsidRDefault="004D3788" w:rsidP="004D378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 todo caso, los </w:t>
      </w:r>
      <w:r>
        <w:rPr>
          <w:rFonts w:ascii="Arial" w:hAnsi="Arial" w:cs="Arial"/>
        </w:rPr>
        <w:t>representantes legales, administradores y demás funcionarios de ITAÚ</w:t>
      </w:r>
      <w:r w:rsidRPr="00DD1A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CORPBANCA COLOMBIA S.A. podrán ejercer los derechos políticos inherentes a sus propias acciones y a aquellas que representen cuando actúen en calidad de representantes legales.</w:t>
      </w:r>
    </w:p>
    <w:p w:rsidR="004D3788" w:rsidRDefault="004D3788" w:rsidP="004D3788">
      <w:pPr>
        <w:spacing w:after="0" w:line="240" w:lineRule="auto"/>
        <w:jc w:val="both"/>
        <w:rPr>
          <w:rFonts w:ascii="Arial" w:hAnsi="Arial" w:cs="Arial"/>
          <w:bCs/>
        </w:rPr>
      </w:pPr>
    </w:p>
    <w:p w:rsidR="004D3788" w:rsidRPr="00193ACE" w:rsidRDefault="004D3788" w:rsidP="004D3788">
      <w:pPr>
        <w:spacing w:after="0" w:line="240" w:lineRule="auto"/>
        <w:jc w:val="both"/>
        <w:rPr>
          <w:rFonts w:ascii="Arial" w:hAnsi="Arial" w:cs="Arial"/>
          <w:bCs/>
        </w:rPr>
      </w:pPr>
      <w:r w:rsidRPr="00336721">
        <w:rPr>
          <w:rFonts w:ascii="Arial" w:hAnsi="Arial" w:cs="Arial"/>
          <w:bCs/>
        </w:rPr>
        <w:t xml:space="preserve">En caso de cualquier duda, por favor comunicarse con la Vicepresidencia Jurídica - Secretaría General al </w:t>
      </w:r>
      <w:r>
        <w:rPr>
          <w:rFonts w:ascii="Arial" w:hAnsi="Arial" w:cs="Arial"/>
          <w:bCs/>
        </w:rPr>
        <w:t xml:space="preserve">5818181 </w:t>
      </w:r>
      <w:proofErr w:type="spellStart"/>
      <w:r>
        <w:rPr>
          <w:rFonts w:ascii="Arial" w:hAnsi="Arial" w:cs="Arial"/>
          <w:bCs/>
        </w:rPr>
        <w:t>ext</w:t>
      </w:r>
      <w:proofErr w:type="spellEnd"/>
      <w:r>
        <w:rPr>
          <w:rFonts w:ascii="Arial" w:hAnsi="Arial" w:cs="Arial"/>
          <w:bCs/>
        </w:rPr>
        <w:t xml:space="preserve"> 18356 </w:t>
      </w:r>
      <w:r w:rsidRPr="00336721">
        <w:rPr>
          <w:rFonts w:ascii="Arial" w:hAnsi="Arial" w:cs="Arial"/>
          <w:bCs/>
        </w:rPr>
        <w:t xml:space="preserve">o al correo </w:t>
      </w:r>
      <w:r w:rsidRPr="00643BF1">
        <w:rPr>
          <w:rFonts w:ascii="Arial" w:hAnsi="Arial" w:cs="Arial"/>
          <w:bCs/>
        </w:rPr>
        <w:t>gobierno</w:t>
      </w:r>
      <w:r w:rsidR="00D266CA">
        <w:rPr>
          <w:rFonts w:ascii="Arial" w:hAnsi="Arial" w:cs="Arial"/>
          <w:bCs/>
        </w:rPr>
        <w:t>.</w:t>
      </w:r>
      <w:r w:rsidRPr="00643BF1">
        <w:rPr>
          <w:rFonts w:ascii="Arial" w:hAnsi="Arial" w:cs="Arial"/>
          <w:bCs/>
        </w:rPr>
        <w:t>corporativo</w:t>
      </w:r>
      <w:r>
        <w:rPr>
          <w:rFonts w:ascii="Arial" w:hAnsi="Arial" w:cs="Arial"/>
          <w:bCs/>
        </w:rPr>
        <w:t>@itau.co</w:t>
      </w:r>
    </w:p>
    <w:p w:rsidR="004D3788" w:rsidRDefault="004D3788" w:rsidP="004D3788">
      <w:pPr>
        <w:pStyle w:val="Default"/>
        <w:jc w:val="both"/>
        <w:rPr>
          <w:sz w:val="21"/>
          <w:szCs w:val="21"/>
        </w:rPr>
      </w:pPr>
    </w:p>
    <w:p w:rsidR="004D3788" w:rsidRDefault="004D3788" w:rsidP="004D3788">
      <w:pPr>
        <w:pStyle w:val="Default"/>
        <w:jc w:val="both"/>
        <w:rPr>
          <w:sz w:val="21"/>
          <w:szCs w:val="21"/>
        </w:rPr>
      </w:pPr>
    </w:p>
    <w:p w:rsidR="004D3788" w:rsidRDefault="004D3788" w:rsidP="004D3788">
      <w:pPr>
        <w:pStyle w:val="Default"/>
        <w:jc w:val="both"/>
        <w:rPr>
          <w:sz w:val="21"/>
          <w:szCs w:val="21"/>
        </w:rPr>
      </w:pPr>
    </w:p>
    <w:p w:rsidR="004D3788" w:rsidRDefault="004D3788" w:rsidP="004D3788">
      <w:pPr>
        <w:pStyle w:val="Default"/>
        <w:jc w:val="both"/>
        <w:rPr>
          <w:sz w:val="21"/>
          <w:szCs w:val="21"/>
        </w:rPr>
      </w:pPr>
    </w:p>
    <w:p w:rsidR="004D3788" w:rsidRPr="007F1274" w:rsidRDefault="004D3788" w:rsidP="004D3788">
      <w:pPr>
        <w:pStyle w:val="Default"/>
        <w:jc w:val="both"/>
        <w:rPr>
          <w:sz w:val="21"/>
          <w:szCs w:val="21"/>
        </w:rPr>
      </w:pPr>
    </w:p>
    <w:p w:rsidR="004D3788" w:rsidRPr="007F1274" w:rsidRDefault="004D3788" w:rsidP="004D3788">
      <w:pPr>
        <w:pStyle w:val="Default"/>
        <w:jc w:val="both"/>
        <w:rPr>
          <w:sz w:val="21"/>
          <w:szCs w:val="21"/>
        </w:rPr>
      </w:pPr>
    </w:p>
    <w:p w:rsidR="004D3788" w:rsidRPr="007F1274" w:rsidRDefault="004D3788" w:rsidP="004D3788">
      <w:pPr>
        <w:pStyle w:val="Default"/>
        <w:jc w:val="both"/>
        <w:rPr>
          <w:sz w:val="21"/>
          <w:szCs w:val="21"/>
        </w:rPr>
      </w:pPr>
    </w:p>
    <w:p w:rsidR="004D3788" w:rsidRPr="007F1274" w:rsidRDefault="004D3788" w:rsidP="004D378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C0B60" w:rsidRDefault="00BC0B60"/>
    <w:sectPr w:rsidR="00BC0B60" w:rsidSect="00592764">
      <w:headerReference w:type="even" r:id="rId7"/>
      <w:headerReference w:type="first" r:id="rId8"/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F6F" w:rsidRDefault="00704F6F">
      <w:pPr>
        <w:spacing w:after="0" w:line="240" w:lineRule="auto"/>
      </w:pPr>
      <w:r>
        <w:separator/>
      </w:r>
    </w:p>
  </w:endnote>
  <w:endnote w:type="continuationSeparator" w:id="0">
    <w:p w:rsidR="00704F6F" w:rsidRDefault="0070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F6F" w:rsidRDefault="00704F6F">
      <w:pPr>
        <w:spacing w:after="0" w:line="240" w:lineRule="auto"/>
      </w:pPr>
      <w:r>
        <w:separator/>
      </w:r>
    </w:p>
  </w:footnote>
  <w:footnote w:type="continuationSeparator" w:id="0">
    <w:p w:rsidR="00704F6F" w:rsidRDefault="0070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1B" w:rsidRDefault="00704F6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2422" o:spid="_x0000_s2050" type="#_x0000_t75" style="position:absolute;margin-left:0;margin-top:0;width:609.5pt;height:790.9pt;z-index:-251656192;mso-position-horizontal:center;mso-position-horizontal-relative:margin;mso-position-vertical:center;mso-position-vertical-relative:margin" o:allowincell="f">
          <v:imagedata r:id="rId1" o:title="CBCO_Papel Carta VT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1B" w:rsidRDefault="00704F6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2421" o:spid="_x0000_s2049" type="#_x0000_t75" style="position:absolute;margin-left:0;margin-top:0;width:609.5pt;height:790.9pt;z-index:-251657216;mso-position-horizontal:center;mso-position-horizontal-relative:margin;mso-position-vertical:center;mso-position-vertical-relative:margin" o:allowincell="f">
          <v:imagedata r:id="rId1" o:title="CBCO_Papel Carta VT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00F05"/>
    <w:multiLevelType w:val="hybridMultilevel"/>
    <w:tmpl w:val="F4EC84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88"/>
    <w:rsid w:val="004A5C1D"/>
    <w:rsid w:val="004D3788"/>
    <w:rsid w:val="00704F6F"/>
    <w:rsid w:val="00BC0B60"/>
    <w:rsid w:val="00D266CA"/>
    <w:rsid w:val="00E82836"/>
    <w:rsid w:val="00E8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2ED3765C"/>
  <w15:chartTrackingRefBased/>
  <w15:docId w15:val="{69494A7A-89F0-48D7-BDAC-FDDB74D3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7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D378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D3788"/>
  </w:style>
  <w:style w:type="paragraph" w:customStyle="1" w:styleId="Default">
    <w:name w:val="Default"/>
    <w:rsid w:val="004D37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D3788"/>
    <w:pPr>
      <w:ind w:left="720"/>
      <w:contextualSpacing/>
    </w:pPr>
    <w:rPr>
      <w:rFonts w:asciiTheme="minorHAnsi" w:eastAsiaTheme="minorEastAsia" w:hAnsiTheme="minorHAnsi" w:cstheme="minorBid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ITAU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Pardo Pedraza</dc:creator>
  <cp:keywords/>
  <dc:description/>
  <cp:lastModifiedBy>Juan Sebastian Pardo Pedraza</cp:lastModifiedBy>
  <cp:revision>3</cp:revision>
  <dcterms:created xsi:type="dcterms:W3CDTF">2020-02-24T16:30:00Z</dcterms:created>
  <dcterms:modified xsi:type="dcterms:W3CDTF">2020-10-02T15:40:00Z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{88DFEC1F-2911-4F99-860B-1ECC6292F326}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1582561853</vt:lpwstr>
  </property>
  <property fmtid="{D5CDD505-2E9C-101B-9397-08002B2CF9AE}" pid="5" name="DLPManualFileClassificationVersion">
    <vt:lpwstr>11.3.2.8</vt:lpwstr>
  </property>
</Properties>
</file>